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7143" w14:textId="77777777" w:rsidR="00604CBF" w:rsidRDefault="00F06CBF" w:rsidP="00604CBF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RIIGI TUGITEENUSTE KESKUSELE </w:t>
      </w:r>
    </w:p>
    <w:p w14:paraId="4780BE45" w14:textId="7A0DE02B" w:rsidR="00E112D8" w:rsidRPr="00345A2C" w:rsidRDefault="00D04022" w:rsidP="00604CBF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45A2C">
        <w:rPr>
          <w:rFonts w:ascii="Calibri" w:hAnsi="Calibri" w:cs="Calibri"/>
          <w:b/>
          <w:bCs/>
          <w:sz w:val="22"/>
          <w:szCs w:val="22"/>
        </w:rPr>
        <w:t>SA KUTSEKODA</w:t>
      </w:r>
      <w:r w:rsidR="00604CB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06CBF">
        <w:rPr>
          <w:rFonts w:ascii="Calibri" w:hAnsi="Calibri" w:cs="Calibri"/>
          <w:b/>
          <w:bCs/>
          <w:sz w:val="22"/>
          <w:szCs w:val="22"/>
        </w:rPr>
        <w:t>POOLT ESITATUD</w:t>
      </w:r>
      <w:r w:rsidRPr="00345A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A446F" w:rsidRPr="00345A2C">
        <w:rPr>
          <w:rFonts w:ascii="Calibri" w:hAnsi="Calibri" w:cs="Calibri"/>
          <w:b/>
          <w:bCs/>
          <w:sz w:val="22"/>
          <w:szCs w:val="22"/>
        </w:rPr>
        <w:t>VA</w:t>
      </w:r>
      <w:r w:rsidR="00EA6E2F">
        <w:rPr>
          <w:rFonts w:ascii="Calibri" w:hAnsi="Calibri" w:cs="Calibri"/>
          <w:b/>
          <w:bCs/>
          <w:sz w:val="22"/>
          <w:szCs w:val="22"/>
        </w:rPr>
        <w:t>IE</w:t>
      </w:r>
      <w:r w:rsidR="00FA446F" w:rsidRPr="00345A2C">
        <w:rPr>
          <w:rFonts w:ascii="Calibri" w:hAnsi="Calibri" w:cs="Calibri"/>
          <w:b/>
          <w:bCs/>
          <w:sz w:val="22"/>
          <w:szCs w:val="22"/>
        </w:rPr>
        <w:t xml:space="preserve"> RAKENDUSÜKSUSE SEISUKOHALE</w:t>
      </w:r>
    </w:p>
    <w:p w14:paraId="60ABCDAC" w14:textId="1AC30AC4" w:rsidR="00FA446F" w:rsidRPr="00345A2C" w:rsidRDefault="00933DA5" w:rsidP="00604CBF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45A2C">
        <w:rPr>
          <w:rFonts w:ascii="Calibri" w:hAnsi="Calibri" w:cs="Calibri"/>
          <w:b/>
          <w:bCs/>
          <w:sz w:val="22"/>
          <w:szCs w:val="22"/>
        </w:rPr>
        <w:t>RIIGIHANKES NR 278973</w:t>
      </w:r>
    </w:p>
    <w:p w14:paraId="3BD6A296" w14:textId="77777777" w:rsidR="00933DA5" w:rsidRPr="00345A2C" w:rsidRDefault="00933DA5" w:rsidP="003E541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9E9967" w14:textId="3E37255B" w:rsidR="00345A2C" w:rsidRPr="00345A2C" w:rsidRDefault="00432F5F" w:rsidP="003E54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2F5F">
        <w:rPr>
          <w:rFonts w:ascii="Calibri" w:hAnsi="Calibri" w:cs="Calibri"/>
          <w:sz w:val="22"/>
          <w:szCs w:val="22"/>
        </w:rPr>
        <w:t>Vastavalt HMS § 72 lg 1 punktile 3 teeme ettepaneku RTK-l finantskorrektsiooni otsus uuesti üle vaadata ja kohaldada käesoleval juhul madalamat finantskorrektsiooni määra.</w:t>
      </w:r>
      <w:r>
        <w:rPr>
          <w:rFonts w:ascii="Calibri" w:hAnsi="Calibri" w:cs="Calibri"/>
          <w:sz w:val="22"/>
          <w:szCs w:val="22"/>
        </w:rPr>
        <w:t xml:space="preserve"> </w:t>
      </w:r>
      <w:r w:rsidR="00345A2C" w:rsidRPr="00345A2C">
        <w:rPr>
          <w:rFonts w:ascii="Calibri" w:hAnsi="Calibri" w:cs="Calibri"/>
          <w:sz w:val="22"/>
          <w:szCs w:val="22"/>
        </w:rPr>
        <w:t xml:space="preserve">Arvestades rikkumise võimalikku vähetõenäolist rahalist mõju ning rikkumist kergendavaid asjaolusid, ei ole </w:t>
      </w:r>
      <w:r w:rsidR="00345A2C">
        <w:rPr>
          <w:rFonts w:ascii="Calibri" w:hAnsi="Calibri" w:cs="Calibri"/>
          <w:sz w:val="22"/>
          <w:szCs w:val="22"/>
        </w:rPr>
        <w:t xml:space="preserve">Kutsekoja hinnangul </w:t>
      </w:r>
      <w:r w:rsidR="00345A2C" w:rsidRPr="00345A2C">
        <w:rPr>
          <w:rFonts w:ascii="Calibri" w:hAnsi="Calibri" w:cs="Calibri"/>
          <w:sz w:val="22"/>
          <w:szCs w:val="22"/>
        </w:rPr>
        <w:t xml:space="preserve">Rakendusüksuse </w:t>
      </w:r>
      <w:r w:rsidR="00345A2C" w:rsidRPr="00345A2C">
        <w:rPr>
          <w:rFonts w:ascii="Calibri" w:hAnsi="Calibri" w:cs="Calibri"/>
          <w:kern w:val="0"/>
          <w:sz w:val="22"/>
          <w:szCs w:val="22"/>
        </w:rPr>
        <w:t xml:space="preserve">otsuses nr 11.3-1/26/486 Kutsekoja ESF projektile „Kutsesüsteemi reform“ </w:t>
      </w:r>
      <w:r w:rsidR="00345A2C" w:rsidRPr="00345A2C">
        <w:rPr>
          <w:rFonts w:ascii="Calibri" w:hAnsi="Calibri" w:cs="Calibri"/>
          <w:sz w:val="22"/>
          <w:szCs w:val="22"/>
        </w:rPr>
        <w:t>25% finantskorrektsiooni määr proportsionaalne</w:t>
      </w:r>
      <w:r w:rsidR="00345A2C">
        <w:rPr>
          <w:rFonts w:ascii="Calibri" w:hAnsi="Calibri" w:cs="Calibri"/>
          <w:sz w:val="22"/>
          <w:szCs w:val="22"/>
        </w:rPr>
        <w:t xml:space="preserve"> järgmistel põhjustel:</w:t>
      </w:r>
      <w:r w:rsidR="00345A2C" w:rsidRPr="00345A2C">
        <w:rPr>
          <w:rFonts w:ascii="Calibri" w:hAnsi="Calibri" w:cs="Calibri"/>
          <w:sz w:val="22"/>
          <w:szCs w:val="22"/>
        </w:rPr>
        <w:t xml:space="preserve"> </w:t>
      </w:r>
    </w:p>
    <w:p w14:paraId="7115FA9C" w14:textId="77777777" w:rsidR="00345A2C" w:rsidRPr="00345A2C" w:rsidRDefault="00345A2C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793C114F" w14:textId="6CD498C4" w:rsidR="00345A2C" w:rsidRPr="00345A2C" w:rsidRDefault="00345A2C" w:rsidP="003E5411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345A2C">
        <w:rPr>
          <w:rFonts w:ascii="Calibri" w:hAnsi="Calibri" w:cs="Calibri"/>
          <w:b/>
          <w:bCs/>
          <w:sz w:val="22"/>
          <w:szCs w:val="22"/>
        </w:rPr>
        <w:t>Puudub faktiline ja majanduslik alus rahalise kahju või selle tekkimise ohu tuvastamiseks</w:t>
      </w:r>
    </w:p>
    <w:p w14:paraId="07ADAEB3" w14:textId="019A7303" w:rsidR="004C1A7C" w:rsidRPr="00345A2C" w:rsidRDefault="00FA446F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Rakendusüksuse esitatud finantskorrektsiooni otsuse </w:t>
      </w:r>
      <w:r w:rsidRPr="00345A2C">
        <w:rPr>
          <w:rFonts w:ascii="Calibri" w:hAnsi="Calibri" w:cs="Calibri"/>
          <w:b/>
          <w:bCs/>
          <w:sz w:val="22"/>
          <w:szCs w:val="22"/>
        </w:rPr>
        <w:t>punktides 29 ja 31</w:t>
      </w:r>
      <w:r w:rsidRPr="00345A2C">
        <w:rPr>
          <w:rFonts w:ascii="Calibri" w:hAnsi="Calibri" w:cs="Calibri"/>
          <w:sz w:val="22"/>
          <w:szCs w:val="22"/>
        </w:rPr>
        <w:t xml:space="preserve"> esitatud seisukohaga ei ole võimalik nõustuda, kuna puudub faktiline ja majanduslik alus rahalise kahju või selle tekkimise ohu tuvastamiseks.</w:t>
      </w:r>
    </w:p>
    <w:p w14:paraId="34350218" w14:textId="1D3AF848" w:rsidR="004C1A7C" w:rsidRPr="00345A2C" w:rsidRDefault="00FA446F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345A2C">
        <w:rPr>
          <w:rFonts w:ascii="Calibri" w:hAnsi="Calibri" w:cs="Calibri"/>
          <w:sz w:val="22"/>
          <w:szCs w:val="22"/>
        </w:rPr>
        <w:t>Rakendusüksus on ise märkinud, et väidetava kahju suurust ei ole võimalik hinnata, kuna ei ole teada, millisteks oleksid kujunenud raamlepingu alusel sõlmitavad hankelepingud juhul, kui hankija oleks käitunud teisiti</w:t>
      </w:r>
      <w:r w:rsidRPr="00345A2C">
        <w:rPr>
          <w:rFonts w:ascii="Calibri" w:hAnsi="Calibri" w:cs="Calibri"/>
          <w:sz w:val="22"/>
          <w:szCs w:val="22"/>
          <w:u w:val="single"/>
        </w:rPr>
        <w:t>. Sellest tulenevalt põhineb järeldus rahalise kahju tekkimise ohust hüpoteetilisel oletusel, mitte tuvastatud asjaoludel.</w:t>
      </w:r>
    </w:p>
    <w:p w14:paraId="6EBE0EAA" w14:textId="4CB87DCA" w:rsidR="00FA446F" w:rsidRPr="00345A2C" w:rsidRDefault="00FA446F" w:rsidP="003E5411">
      <w:pPr>
        <w:pStyle w:val="ListParagraph"/>
        <w:ind w:left="0" w:hanging="11"/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Lisaks tuleb arvesse võtta, et juhul kui vaidlusalune pakkuja Karjääristuudio OÜ </w:t>
      </w:r>
      <w:r w:rsidR="004C1A7C" w:rsidRPr="00345A2C">
        <w:rPr>
          <w:rFonts w:ascii="Calibri" w:hAnsi="Calibri" w:cs="Calibri"/>
          <w:sz w:val="22"/>
          <w:szCs w:val="22"/>
        </w:rPr>
        <w:t xml:space="preserve">pakkumus </w:t>
      </w:r>
      <w:r w:rsidRPr="00345A2C">
        <w:rPr>
          <w:rFonts w:ascii="Calibri" w:hAnsi="Calibri" w:cs="Calibri"/>
          <w:sz w:val="22"/>
          <w:szCs w:val="22"/>
        </w:rPr>
        <w:t xml:space="preserve">oleks tunnistatud </w:t>
      </w:r>
      <w:r w:rsidR="004C1A7C" w:rsidRPr="00345A2C">
        <w:rPr>
          <w:rFonts w:ascii="Calibri" w:hAnsi="Calibri" w:cs="Calibri"/>
          <w:sz w:val="22"/>
          <w:szCs w:val="22"/>
        </w:rPr>
        <w:t xml:space="preserve">hanke tingimustele </w:t>
      </w:r>
      <w:r w:rsidRPr="00345A2C">
        <w:rPr>
          <w:rFonts w:ascii="Calibri" w:hAnsi="Calibri" w:cs="Calibri"/>
          <w:sz w:val="22"/>
          <w:szCs w:val="22"/>
        </w:rPr>
        <w:t xml:space="preserve">mittevastavaks, oleks raamlepingusse kaasatud pakkuja </w:t>
      </w:r>
      <w:r w:rsidRPr="00345A2C">
        <w:rPr>
          <w:rFonts w:ascii="Calibri" w:hAnsi="Calibri" w:cs="Calibri"/>
          <w:sz w:val="22"/>
          <w:szCs w:val="22"/>
          <w:u w:val="single"/>
        </w:rPr>
        <w:t>Osaühing Estfilm Production, kelle pakkumuse maksumused olid oluliselt kõrgemad võrreldes tegelikult raamlepingusse pääsenud pakkujatega</w:t>
      </w:r>
      <w:r w:rsidRPr="00345A2C">
        <w:rPr>
          <w:rFonts w:ascii="Calibri" w:hAnsi="Calibri" w:cs="Calibri"/>
          <w:sz w:val="22"/>
          <w:szCs w:val="22"/>
        </w:rPr>
        <w:t xml:space="preserve">. </w:t>
      </w:r>
    </w:p>
    <w:tbl>
      <w:tblPr>
        <w:tblW w:w="9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1500"/>
        <w:gridCol w:w="1273"/>
        <w:gridCol w:w="1974"/>
        <w:gridCol w:w="2084"/>
        <w:gridCol w:w="2338"/>
      </w:tblGrid>
      <w:tr w:rsidR="00FA446F" w:rsidRPr="00345A2C" w14:paraId="1984FE5F" w14:textId="77777777" w:rsidTr="00FA446F">
        <w:trPr>
          <w:trHeight w:val="1832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35D8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5950" w14:textId="77777777" w:rsidR="00FA446F" w:rsidRPr="00345A2C" w:rsidRDefault="00FA446F" w:rsidP="00953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Vastavaks tunnistatud pakkuja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3498" w14:textId="77777777" w:rsidR="00FA446F" w:rsidRPr="00345A2C" w:rsidRDefault="00FA446F" w:rsidP="00953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Animatsioon (u 2 minutit) ühe minuti</w:t>
            </w: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br/>
              <w:t>maksumus, osakaal 10%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FAA" w14:textId="77777777" w:rsidR="00FA446F" w:rsidRPr="00345A2C" w:rsidRDefault="00FA446F" w:rsidP="00953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Pika video (u 40 minutit) ühe minuti</w:t>
            </w: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br/>
              <w:t>maksumus, osakaal 10%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6B6E" w14:textId="77777777" w:rsidR="00FA446F" w:rsidRPr="00345A2C" w:rsidRDefault="00FA446F" w:rsidP="00953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Lühikese video (u 5 minutit) ühe minuti</w:t>
            </w: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br/>
              <w:t>maksumus, osakaal 10%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5085" w14:textId="77777777" w:rsidR="00FA446F" w:rsidRPr="00345A2C" w:rsidRDefault="00FA446F" w:rsidP="00953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Audiofail (u 60 min) ühe minuti</w:t>
            </w: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br/>
              <w:t>maksumus, osakaal 10%</w:t>
            </w:r>
          </w:p>
        </w:tc>
      </w:tr>
      <w:tr w:rsidR="00FA446F" w:rsidRPr="00345A2C" w14:paraId="75C4BF78" w14:textId="77777777" w:rsidTr="00FA446F">
        <w:trPr>
          <w:trHeight w:val="30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4640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C085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Epistula OÜ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7BCB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714,00 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ED8A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129,90 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BC52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190,80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72EC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24,70  </w:t>
            </w:r>
          </w:p>
        </w:tc>
      </w:tr>
      <w:tr w:rsidR="00FA446F" w:rsidRPr="00345A2C" w14:paraId="416C1300" w14:textId="77777777" w:rsidTr="00FA446F">
        <w:trPr>
          <w:trHeight w:val="30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42A0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BA7C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Karjääristuudio OÜ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F007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450,00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133B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25,00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C4B4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1A69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7,50</w:t>
            </w:r>
          </w:p>
        </w:tc>
      </w:tr>
      <w:tr w:rsidR="00FA446F" w:rsidRPr="00345A2C" w14:paraId="787044F3" w14:textId="77777777" w:rsidTr="00FA446F">
        <w:trPr>
          <w:trHeight w:val="30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21AD5B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046B67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Osaühing Estfilm Production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99251D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2500,00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318314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140,00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E8349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850,00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6C74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25,00</w:t>
            </w:r>
          </w:p>
        </w:tc>
      </w:tr>
      <w:tr w:rsidR="00FA446F" w:rsidRPr="00345A2C" w14:paraId="0105D953" w14:textId="77777777" w:rsidTr="00FA446F">
        <w:trPr>
          <w:trHeight w:val="304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21EE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607C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Silmad Lahti Film OÜ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3149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449,00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BF3A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49,00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BCE8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469,00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E9E5" w14:textId="77777777" w:rsidR="00FA446F" w:rsidRPr="00345A2C" w:rsidRDefault="00FA446F" w:rsidP="003E5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345A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219,00</w:t>
            </w:r>
          </w:p>
        </w:tc>
      </w:tr>
    </w:tbl>
    <w:p w14:paraId="5EF9586E" w14:textId="77777777" w:rsidR="00FA446F" w:rsidRPr="00345A2C" w:rsidRDefault="00FA446F" w:rsidP="003E5411">
      <w:pPr>
        <w:jc w:val="both"/>
        <w:rPr>
          <w:rFonts w:ascii="Calibri" w:hAnsi="Calibri" w:cs="Calibri"/>
          <w:sz w:val="22"/>
          <w:szCs w:val="22"/>
        </w:rPr>
      </w:pPr>
    </w:p>
    <w:p w14:paraId="20D61023" w14:textId="3A754BB5" w:rsidR="00FA446F" w:rsidRPr="00345A2C" w:rsidRDefault="00FA446F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>Osaühing Estinfilm Productionsi pakkumuses</w:t>
      </w:r>
      <w:r w:rsidR="00F309D8" w:rsidRPr="00345A2C">
        <w:rPr>
          <w:rFonts w:ascii="Calibri" w:hAnsi="Calibri" w:cs="Calibri"/>
          <w:sz w:val="22"/>
          <w:szCs w:val="22"/>
        </w:rPr>
        <w:t xml:space="preserve"> on võrreldes teiste vastavaks tunnistatud pakkumuste keskmise hinnaga hinnad kõrgemad:</w:t>
      </w:r>
    </w:p>
    <w:p w14:paraId="0CB927A5" w14:textId="5B085A0B" w:rsidR="00F309D8" w:rsidRPr="00345A2C" w:rsidRDefault="00F309D8" w:rsidP="003E541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>Animatsioon (u 2 minutit) ühe minuti maksumus: 4,65 korda</w:t>
      </w:r>
    </w:p>
    <w:p w14:paraId="43E52F26" w14:textId="0F83FE7C" w:rsidR="00F309D8" w:rsidRPr="00345A2C" w:rsidRDefault="00F309D8" w:rsidP="003E541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>Pika video (u 40 minutit) ühe minuti maksumus: 2,06 korda</w:t>
      </w:r>
    </w:p>
    <w:p w14:paraId="48ECCF5C" w14:textId="55C6915E" w:rsidR="00F309D8" w:rsidRPr="00345A2C" w:rsidRDefault="00F309D8" w:rsidP="003E541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eastAsia="Times New Roman" w:hAnsi="Calibri" w:cs="Calibri"/>
          <w:color w:val="000000"/>
          <w:kern w:val="0"/>
          <w:sz w:val="22"/>
          <w:szCs w:val="22"/>
          <w:lang w:eastAsia="et-EE"/>
          <w14:ligatures w14:val="none"/>
        </w:rPr>
        <w:t xml:space="preserve">Lühikese video (u 5 minutit) ühe minuti maksumus: 3,14 </w:t>
      </w:r>
      <w:r w:rsidRPr="00345A2C">
        <w:rPr>
          <w:rFonts w:ascii="Calibri" w:hAnsi="Calibri" w:cs="Calibri"/>
          <w:sz w:val="22"/>
          <w:szCs w:val="22"/>
        </w:rPr>
        <w:t>korda</w:t>
      </w:r>
    </w:p>
    <w:p w14:paraId="37DD25BC" w14:textId="619DCBEB" w:rsidR="00FA446F" w:rsidRPr="00345A2C" w:rsidRDefault="00FA446F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Selline olukord oleks tõstnud raamlepingu hinnataset ning suurendanud tõenäosust, et minikonkursside tulemusel sõlmitavad hankelepingud oleksid olnud </w:t>
      </w:r>
      <w:r w:rsidR="000117AA" w:rsidRPr="00345A2C">
        <w:rPr>
          <w:rFonts w:ascii="Calibri" w:hAnsi="Calibri" w:cs="Calibri"/>
          <w:sz w:val="22"/>
          <w:szCs w:val="22"/>
        </w:rPr>
        <w:t xml:space="preserve">hoopis </w:t>
      </w:r>
      <w:r w:rsidRPr="00345A2C">
        <w:rPr>
          <w:rFonts w:ascii="Calibri" w:hAnsi="Calibri" w:cs="Calibri"/>
          <w:sz w:val="22"/>
          <w:szCs w:val="22"/>
        </w:rPr>
        <w:t>kallimad.</w:t>
      </w:r>
    </w:p>
    <w:p w14:paraId="48975081" w14:textId="78015296" w:rsidR="00FA446F" w:rsidRPr="00345A2C" w:rsidRDefault="00FA446F" w:rsidP="003E541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lastRenderedPageBreak/>
        <w:t xml:space="preserve">Seega </w:t>
      </w:r>
      <w:r w:rsidRPr="00345A2C">
        <w:rPr>
          <w:rFonts w:ascii="Calibri" w:hAnsi="Calibri" w:cs="Calibri"/>
          <w:sz w:val="22"/>
          <w:szCs w:val="22"/>
          <w:u w:val="single"/>
        </w:rPr>
        <w:t>puudub põhjuslik seos väidetava rikkumise ja rahalise kahju vahel</w:t>
      </w:r>
      <w:r w:rsidRPr="00345A2C">
        <w:rPr>
          <w:rFonts w:ascii="Calibri" w:hAnsi="Calibri" w:cs="Calibri"/>
          <w:sz w:val="22"/>
          <w:szCs w:val="22"/>
        </w:rPr>
        <w:t xml:space="preserve"> ning </w:t>
      </w:r>
      <w:r w:rsidRPr="00345A2C">
        <w:rPr>
          <w:rFonts w:ascii="Calibri" w:hAnsi="Calibri" w:cs="Calibri"/>
          <w:b/>
          <w:bCs/>
          <w:sz w:val="22"/>
          <w:szCs w:val="22"/>
        </w:rPr>
        <w:t xml:space="preserve">vastupidi – rakendusüksuse kirjeldatud alternatiivne käitumine oleks suure tõenäosusega toonud kaasa suurema kulu </w:t>
      </w:r>
      <w:r w:rsidR="004C1A7C" w:rsidRPr="00345A2C">
        <w:rPr>
          <w:rFonts w:ascii="Calibri" w:hAnsi="Calibri" w:cs="Calibri"/>
          <w:b/>
          <w:bCs/>
          <w:sz w:val="22"/>
          <w:szCs w:val="22"/>
        </w:rPr>
        <w:t>projektirahade kasutusele</w:t>
      </w:r>
      <w:r w:rsidRPr="00345A2C">
        <w:rPr>
          <w:rFonts w:ascii="Calibri" w:hAnsi="Calibri" w:cs="Calibri"/>
          <w:b/>
          <w:bCs/>
          <w:sz w:val="22"/>
          <w:szCs w:val="22"/>
        </w:rPr>
        <w:t>.</w:t>
      </w:r>
      <w:r w:rsidR="00345A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45A2C">
        <w:rPr>
          <w:rFonts w:ascii="Calibri" w:hAnsi="Calibri" w:cs="Calibri"/>
          <w:sz w:val="22"/>
          <w:szCs w:val="22"/>
        </w:rPr>
        <w:t xml:space="preserve">Eeltoodust tulenevalt </w:t>
      </w:r>
      <w:r w:rsidRPr="00345A2C">
        <w:rPr>
          <w:rFonts w:ascii="Calibri" w:hAnsi="Calibri" w:cs="Calibri"/>
          <w:b/>
          <w:bCs/>
          <w:sz w:val="22"/>
          <w:szCs w:val="22"/>
        </w:rPr>
        <w:t xml:space="preserve">ei ole põhjendatud järeldus, et </w:t>
      </w:r>
      <w:r w:rsidR="00FB2246" w:rsidRPr="00345A2C">
        <w:rPr>
          <w:rFonts w:ascii="Calibri" w:hAnsi="Calibri" w:cs="Calibri"/>
          <w:b/>
          <w:bCs/>
          <w:sz w:val="22"/>
          <w:szCs w:val="22"/>
        </w:rPr>
        <w:t>esineb rahalise kahju tekkimise oht</w:t>
      </w:r>
      <w:r w:rsidRPr="00345A2C">
        <w:rPr>
          <w:rFonts w:ascii="Calibri" w:hAnsi="Calibri" w:cs="Calibri"/>
          <w:sz w:val="22"/>
          <w:szCs w:val="22"/>
        </w:rPr>
        <w:t>.</w:t>
      </w:r>
    </w:p>
    <w:p w14:paraId="18B7D513" w14:textId="53EA13B7" w:rsidR="00345A2C" w:rsidRPr="00345A2C" w:rsidRDefault="00345A2C" w:rsidP="003E5411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345A2C">
        <w:rPr>
          <w:rFonts w:ascii="Calibri" w:hAnsi="Calibri" w:cs="Calibri"/>
          <w:b/>
          <w:bCs/>
          <w:sz w:val="22"/>
          <w:szCs w:val="22"/>
        </w:rPr>
        <w:t>Potentsiaalseid kõrvalejäänud pakkuja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345A2C">
        <w:rPr>
          <w:rFonts w:ascii="Calibri" w:hAnsi="Calibri" w:cs="Calibri"/>
          <w:b/>
          <w:bCs/>
          <w:sz w:val="22"/>
          <w:szCs w:val="22"/>
        </w:rPr>
        <w:t xml:space="preserve">d </w:t>
      </w:r>
      <w:r>
        <w:rPr>
          <w:rFonts w:ascii="Calibri" w:hAnsi="Calibri" w:cs="Calibri"/>
          <w:b/>
          <w:bCs/>
          <w:sz w:val="22"/>
          <w:szCs w:val="22"/>
        </w:rPr>
        <w:t>ei ole olemas</w:t>
      </w:r>
    </w:p>
    <w:p w14:paraId="345C335F" w14:textId="2868FFEF" w:rsidR="000F51DB" w:rsidRPr="00345A2C" w:rsidRDefault="000F51DB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Rakendusüksuse punktis 30 esitatud väide, mille kohaselt ei saa välistada võimalust, et potentsiaalsed hankest huvitatud isikud oleksid hankes osalenud juhul, kui nad oleksid teadnud, et aktsepteeritakse ka alla 60-sekundilise pikkusega animatsiooni, ei ole põhjendatud ega tugine turu tegelikule olukorrale. </w:t>
      </w:r>
      <w:r w:rsidR="00F96AB9" w:rsidRPr="00345A2C">
        <w:rPr>
          <w:rFonts w:ascii="Calibri" w:hAnsi="Calibri" w:cs="Calibri"/>
          <w:sz w:val="22"/>
          <w:szCs w:val="22"/>
        </w:rPr>
        <w:t xml:space="preserve">Väikese </w:t>
      </w:r>
      <w:r w:rsidRPr="00345A2C">
        <w:rPr>
          <w:rFonts w:ascii="Calibri" w:hAnsi="Calibri" w:cs="Calibri"/>
          <w:sz w:val="22"/>
          <w:szCs w:val="22"/>
        </w:rPr>
        <w:t xml:space="preserve">Eesti audiovisuaalse tootmisturu kontekstis ei tegutse videote tootjaid, kes pakuksid </w:t>
      </w:r>
      <w:r w:rsidRPr="00345A2C">
        <w:rPr>
          <w:rFonts w:ascii="Calibri" w:hAnsi="Calibri" w:cs="Calibri"/>
          <w:sz w:val="22"/>
          <w:szCs w:val="22"/>
          <w:u w:val="single"/>
        </w:rPr>
        <w:t xml:space="preserve">üksnes </w:t>
      </w:r>
      <w:r w:rsidRPr="00345A2C">
        <w:rPr>
          <w:rFonts w:ascii="Calibri" w:hAnsi="Calibri" w:cs="Calibri"/>
          <w:sz w:val="22"/>
          <w:szCs w:val="22"/>
        </w:rPr>
        <w:t xml:space="preserve">alla 60-sekundilise pikkusega videoid. </w:t>
      </w:r>
      <w:r w:rsidR="00F96AB9" w:rsidRPr="00345A2C">
        <w:rPr>
          <w:rFonts w:ascii="Calibri" w:hAnsi="Calibri" w:cs="Calibri"/>
          <w:sz w:val="22"/>
          <w:szCs w:val="22"/>
        </w:rPr>
        <w:t>A</w:t>
      </w:r>
      <w:r w:rsidRPr="00345A2C">
        <w:rPr>
          <w:rFonts w:ascii="Calibri" w:hAnsi="Calibri" w:cs="Calibri"/>
          <w:sz w:val="22"/>
          <w:szCs w:val="22"/>
        </w:rPr>
        <w:t>sjakohastel turuosalistel on oma varasemates töödes ka pikema kestusega videod ning seega ei olnud hanketingimus selline, mis oleks objektiivselt välistanud potentsiaalseid pakkujaid hankemenetluses osalemast.</w:t>
      </w:r>
      <w:r w:rsidR="00437FB4">
        <w:rPr>
          <w:rFonts w:ascii="Calibri" w:hAnsi="Calibri" w:cs="Calibri"/>
          <w:sz w:val="22"/>
          <w:szCs w:val="22"/>
        </w:rPr>
        <w:t xml:space="preserve"> Lisaks </w:t>
      </w:r>
      <w:r w:rsidR="00437FB4" w:rsidRPr="00437FB4">
        <w:rPr>
          <w:rFonts w:ascii="Calibri" w:hAnsi="Calibri" w:cs="Calibri"/>
          <w:sz w:val="22"/>
          <w:szCs w:val="22"/>
        </w:rPr>
        <w:t xml:space="preserve">hankest huvitatud isikutest </w:t>
      </w:r>
      <w:r w:rsidR="00437FB4">
        <w:rPr>
          <w:rFonts w:ascii="Calibri" w:hAnsi="Calibri" w:cs="Calibri"/>
          <w:sz w:val="22"/>
          <w:szCs w:val="22"/>
        </w:rPr>
        <w:t xml:space="preserve">mitte keegi </w:t>
      </w:r>
      <w:r w:rsidR="00437FB4" w:rsidRPr="00437FB4">
        <w:rPr>
          <w:rFonts w:ascii="Calibri" w:hAnsi="Calibri" w:cs="Calibri"/>
          <w:sz w:val="22"/>
          <w:szCs w:val="22"/>
        </w:rPr>
        <w:t>ei tõstatanud teabevahetuse kaudu küsimust, et 60 sekundi pikkuse klipi nõue kuidagi piirav oleks ja oleks vaja seda nõuet alandada.</w:t>
      </w:r>
    </w:p>
    <w:p w14:paraId="342398A9" w14:textId="77777777" w:rsidR="000F51DB" w:rsidRPr="00345A2C" w:rsidRDefault="000F51DB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46B5E90D" w14:textId="77777777" w:rsidR="000F51DB" w:rsidRPr="00345A2C" w:rsidRDefault="000F51DB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Eeltoodust tulenevalt ei ole põhjendatud järeldus, et hanketingimused oleksid piiranud konkurentsi või mõjutanud hankemenetluse tulemust viisil, mis looks rahalise kahju tekkimise ohu. Rakendusüksuse punktis 30 toodud seisukoht põhineb </w:t>
      </w:r>
      <w:r w:rsidRPr="00345A2C">
        <w:rPr>
          <w:rFonts w:ascii="Calibri" w:hAnsi="Calibri" w:cs="Calibri"/>
          <w:sz w:val="22"/>
          <w:szCs w:val="22"/>
          <w:u w:val="single"/>
        </w:rPr>
        <w:t>oletuslikul stsenaariumil ega ole toetatud turuolukorda kajastavate faktiliste asjaoludega</w:t>
      </w:r>
      <w:r w:rsidRPr="00345A2C">
        <w:rPr>
          <w:rFonts w:ascii="Calibri" w:hAnsi="Calibri" w:cs="Calibri"/>
          <w:sz w:val="22"/>
          <w:szCs w:val="22"/>
        </w:rPr>
        <w:t>.</w:t>
      </w:r>
    </w:p>
    <w:p w14:paraId="48BDA8D7" w14:textId="56033AF5" w:rsidR="000F51DB" w:rsidRPr="00345A2C" w:rsidRDefault="00345A2C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7E35DF74" w14:textId="25E09DDB" w:rsidR="00BB6E16" w:rsidRPr="00345A2C" w:rsidRDefault="00345A2C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Kokkuvõtvalt võib öelda, et </w:t>
      </w:r>
      <w:r w:rsidR="005F1959">
        <w:rPr>
          <w:rFonts w:ascii="Calibri" w:hAnsi="Calibri" w:cs="Calibri"/>
          <w:sz w:val="22"/>
          <w:szCs w:val="22"/>
        </w:rPr>
        <w:t xml:space="preserve">eelnimetatud hanketingimuse tõttu </w:t>
      </w:r>
      <w:r>
        <w:rPr>
          <w:rFonts w:ascii="Calibri" w:hAnsi="Calibri" w:cs="Calibri"/>
          <w:sz w:val="22"/>
          <w:szCs w:val="22"/>
        </w:rPr>
        <w:t xml:space="preserve">potentsiaalselt kõrvalejäänud pakkujaid </w:t>
      </w:r>
      <w:r w:rsidR="005F1959">
        <w:rPr>
          <w:rFonts w:ascii="Calibri" w:hAnsi="Calibri" w:cs="Calibri"/>
          <w:sz w:val="22"/>
          <w:szCs w:val="22"/>
        </w:rPr>
        <w:t>ei olnud.</w:t>
      </w:r>
    </w:p>
    <w:p w14:paraId="299D0CF0" w14:textId="77777777" w:rsidR="00A92849" w:rsidRPr="00345A2C" w:rsidRDefault="00A92849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p w14:paraId="2E3E0C71" w14:textId="568FBCBF" w:rsidR="00A92849" w:rsidRPr="00345A2C" w:rsidRDefault="00A92849" w:rsidP="003E5411">
      <w:pPr>
        <w:pStyle w:val="ListParagraph"/>
        <w:ind w:left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45A2C">
        <w:rPr>
          <w:rFonts w:ascii="Calibri" w:hAnsi="Calibri" w:cs="Calibri"/>
          <w:b/>
          <w:bCs/>
          <w:sz w:val="22"/>
          <w:szCs w:val="22"/>
          <w:u w:val="single"/>
        </w:rPr>
        <w:t>Kokkuvõte ja ettepanek finantskorrektsiooni määra vähendamiseks</w:t>
      </w:r>
    </w:p>
    <w:p w14:paraId="7E0482B9" w14:textId="77777777" w:rsidR="00A92849" w:rsidRPr="00345A2C" w:rsidRDefault="00A92849" w:rsidP="003E5411">
      <w:pPr>
        <w:pStyle w:val="ListParagraph"/>
        <w:ind w:left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D79F421" w14:textId="77777777" w:rsidR="00A92849" w:rsidRPr="00345A2C" w:rsidRDefault="00A92849" w:rsidP="003E5411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>Finantskorrektsiooni otsuses puudub piisav põhjendus 25% finantskorrektsiooni määra kohaldamiseks:</w:t>
      </w:r>
    </w:p>
    <w:p w14:paraId="43E58103" w14:textId="77777777" w:rsidR="00A92849" w:rsidRPr="00345A2C" w:rsidRDefault="00A92849" w:rsidP="003E541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Otsus tugineb </w:t>
      </w:r>
      <w:r w:rsidRPr="00345A2C">
        <w:rPr>
          <w:rFonts w:ascii="Calibri" w:hAnsi="Calibri" w:cs="Calibri"/>
          <w:b/>
          <w:bCs/>
          <w:sz w:val="22"/>
          <w:szCs w:val="22"/>
        </w:rPr>
        <w:t>eeldustele</w:t>
      </w:r>
      <w:r w:rsidRPr="00345A2C">
        <w:rPr>
          <w:rFonts w:ascii="Calibri" w:hAnsi="Calibri" w:cs="Calibri"/>
          <w:sz w:val="22"/>
          <w:szCs w:val="22"/>
        </w:rPr>
        <w:t xml:space="preserve">, et rikkumine võis mõjutada hankemenetluse ja minikonkursside tulemusi, kuid samas on RTK ise märkinud, et </w:t>
      </w:r>
      <w:r w:rsidRPr="00345A2C">
        <w:rPr>
          <w:rFonts w:ascii="Calibri" w:hAnsi="Calibri" w:cs="Calibri"/>
          <w:b/>
          <w:bCs/>
          <w:sz w:val="22"/>
          <w:szCs w:val="22"/>
        </w:rPr>
        <w:t>rahalise kahju suurust ei ole võimalik hinnata</w:t>
      </w:r>
      <w:r w:rsidRPr="00345A2C">
        <w:rPr>
          <w:rFonts w:ascii="Calibri" w:hAnsi="Calibri" w:cs="Calibri"/>
          <w:sz w:val="22"/>
          <w:szCs w:val="22"/>
        </w:rPr>
        <w:t xml:space="preserve">. </w:t>
      </w:r>
    </w:p>
    <w:p w14:paraId="634E0108" w14:textId="77777777" w:rsidR="00A92849" w:rsidRPr="00345A2C" w:rsidRDefault="00A92849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Seega </w:t>
      </w:r>
      <w:r w:rsidRPr="00345A2C">
        <w:rPr>
          <w:rFonts w:ascii="Calibri" w:hAnsi="Calibri" w:cs="Calibri"/>
          <w:b/>
          <w:bCs/>
          <w:sz w:val="22"/>
          <w:szCs w:val="22"/>
        </w:rPr>
        <w:t>ei ole tuvastatud ei tegelikku rahalist kahju ega ka usaldusväärset ohtu Euroopa Liidu eelarve kahjustamisele</w:t>
      </w:r>
      <w:r w:rsidRPr="00345A2C">
        <w:rPr>
          <w:rFonts w:ascii="Calibri" w:hAnsi="Calibri" w:cs="Calibri"/>
          <w:sz w:val="22"/>
          <w:szCs w:val="22"/>
        </w:rPr>
        <w:t xml:space="preserve">. </w:t>
      </w:r>
    </w:p>
    <w:p w14:paraId="6F01F07B" w14:textId="77777777" w:rsidR="00A92849" w:rsidRPr="00345A2C" w:rsidRDefault="00A92849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>Vaide käigus esitatud hinnavõrdlus näitab, et RTK poolt õiguspäraseks peetava alternatiivse stsenaariumi korral oleks raamlepingusse kaasatud oluliselt kõrgema hinnatasemega pakkuja, mis oleks suure tõenäosusega toonud kaasa suurema kulu.</w:t>
      </w:r>
    </w:p>
    <w:p w14:paraId="71076572" w14:textId="77777777" w:rsidR="00A92849" w:rsidRPr="00345A2C" w:rsidRDefault="00A92849" w:rsidP="003E5411">
      <w:pPr>
        <w:jc w:val="both"/>
        <w:rPr>
          <w:rFonts w:ascii="Calibri" w:hAnsi="Calibri" w:cs="Calibri"/>
          <w:sz w:val="22"/>
          <w:szCs w:val="22"/>
        </w:rPr>
      </w:pPr>
      <w:r w:rsidRPr="00345A2C">
        <w:rPr>
          <w:rFonts w:ascii="Calibri" w:hAnsi="Calibri" w:cs="Calibri"/>
          <w:sz w:val="22"/>
          <w:szCs w:val="22"/>
        </w:rPr>
        <w:t xml:space="preserve"> Arvestades rikkumise võimalikku vähetõenäolist rahalist mõju ning rikkumist kergendavaid asjaolusid, </w:t>
      </w:r>
      <w:r w:rsidRPr="00345A2C">
        <w:rPr>
          <w:rFonts w:ascii="Calibri" w:hAnsi="Calibri" w:cs="Calibri"/>
          <w:b/>
          <w:bCs/>
          <w:sz w:val="22"/>
          <w:szCs w:val="22"/>
        </w:rPr>
        <w:t>ei ole 25% finantskorrektsiooni määr proportsionaalne</w:t>
      </w:r>
      <w:r w:rsidRPr="00345A2C">
        <w:rPr>
          <w:rFonts w:ascii="Calibri" w:hAnsi="Calibri" w:cs="Calibri"/>
          <w:sz w:val="22"/>
          <w:szCs w:val="22"/>
        </w:rPr>
        <w:t xml:space="preserve">. </w:t>
      </w:r>
    </w:p>
    <w:p w14:paraId="47F830E5" w14:textId="79A4D126" w:rsidR="00A92849" w:rsidRPr="00604CBF" w:rsidRDefault="009E322C" w:rsidP="003E541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04CBF">
        <w:rPr>
          <w:rFonts w:ascii="Calibri" w:hAnsi="Calibri" w:cs="Calibri"/>
          <w:b/>
          <w:bCs/>
          <w:sz w:val="22"/>
          <w:szCs w:val="22"/>
        </w:rPr>
        <w:t xml:space="preserve">Vastavalt HMS § 72 lg 1 punktile 3 teeme ettepaneku </w:t>
      </w:r>
      <w:r w:rsidR="00A92849" w:rsidRPr="00604CBF">
        <w:rPr>
          <w:rFonts w:ascii="Calibri" w:hAnsi="Calibri" w:cs="Calibri"/>
          <w:b/>
          <w:bCs/>
          <w:sz w:val="22"/>
          <w:szCs w:val="22"/>
        </w:rPr>
        <w:t xml:space="preserve">RTK-l finantskorrektsiooni otsus </w:t>
      </w:r>
      <w:r w:rsidRPr="00604CBF">
        <w:rPr>
          <w:rFonts w:ascii="Calibri" w:hAnsi="Calibri" w:cs="Calibri"/>
          <w:b/>
          <w:bCs/>
          <w:sz w:val="22"/>
          <w:szCs w:val="22"/>
        </w:rPr>
        <w:t xml:space="preserve">uuesti </w:t>
      </w:r>
      <w:r w:rsidR="00A92849" w:rsidRPr="00604CBF">
        <w:rPr>
          <w:rFonts w:ascii="Calibri" w:hAnsi="Calibri" w:cs="Calibri"/>
          <w:b/>
          <w:bCs/>
          <w:sz w:val="22"/>
          <w:szCs w:val="22"/>
        </w:rPr>
        <w:t>üle vaadata ja kohaldada käesoleval juhul madalamat finantskorrektsiooni määra.</w:t>
      </w:r>
    </w:p>
    <w:p w14:paraId="214F7E3D" w14:textId="42BC4D4F" w:rsidR="00FA6F02" w:rsidRPr="00604CBF" w:rsidRDefault="00FA6F02" w:rsidP="003E541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04CBF">
        <w:rPr>
          <w:rFonts w:ascii="Calibri" w:hAnsi="Calibri" w:cs="Calibri"/>
          <w:b/>
          <w:bCs/>
          <w:sz w:val="22"/>
          <w:szCs w:val="22"/>
        </w:rPr>
        <w:t>Kinnitame, et vaieldavas asjas ei ole jõustunud kohtuotsust ega toimu kohtumenetlust</w:t>
      </w:r>
    </w:p>
    <w:p w14:paraId="7E57275C" w14:textId="7F67B030" w:rsidR="00F06CBF" w:rsidRDefault="00F06CBF" w:rsidP="00F06CB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Tiia Randma</w:t>
      </w:r>
    </w:p>
    <w:p w14:paraId="571756F1" w14:textId="1F5BEA1D" w:rsidR="00F06CBF" w:rsidRDefault="00F06CBF" w:rsidP="00F06CB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 Kutsekoda</w:t>
      </w:r>
    </w:p>
    <w:p w14:paraId="0CC4AECB" w14:textId="338B32B3" w:rsidR="00F06CBF" w:rsidRDefault="00F06CBF" w:rsidP="00F06CB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Mustamäe tee 16, </w:t>
      </w:r>
      <w:r w:rsidR="00C95E61" w:rsidRPr="00C95E61">
        <w:rPr>
          <w:rFonts w:ascii="Calibri" w:hAnsi="Calibri" w:cs="Calibri"/>
          <w:sz w:val="22"/>
          <w:szCs w:val="22"/>
        </w:rPr>
        <w:t>10617</w:t>
      </w:r>
      <w:r w:rsidR="00C95E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Tallinn</w:t>
      </w:r>
    </w:p>
    <w:p w14:paraId="27F84757" w14:textId="41CBA9D3" w:rsidR="00F06CBF" w:rsidRPr="00345A2C" w:rsidRDefault="00F06CBF" w:rsidP="00F06CBF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06CBF">
        <w:rPr>
          <w:rFonts w:ascii="Calibri" w:hAnsi="Calibri" w:cs="Calibri"/>
          <w:sz w:val="22"/>
          <w:szCs w:val="22"/>
        </w:rPr>
        <w:t>679 1700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330FE0">
          <w:rPr>
            <w:rStyle w:val="Hyperlink"/>
            <w:rFonts w:ascii="Calibri" w:hAnsi="Calibri" w:cs="Calibri"/>
            <w:sz w:val="22"/>
            <w:szCs w:val="22"/>
          </w:rPr>
          <w:t>kutsekoda@kutsekoda.ee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sectPr w:rsidR="00F06CBF" w:rsidRPr="00345A2C" w:rsidSect="00E5526C">
      <w:footerReference w:type="default" r:id="rId8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4D1F" w14:textId="77777777" w:rsidR="009559AE" w:rsidRDefault="009559AE" w:rsidP="00E5526C">
      <w:pPr>
        <w:spacing w:after="0" w:line="240" w:lineRule="auto"/>
      </w:pPr>
      <w:r>
        <w:separator/>
      </w:r>
    </w:p>
  </w:endnote>
  <w:endnote w:type="continuationSeparator" w:id="0">
    <w:p w14:paraId="08B5EC7F" w14:textId="77777777" w:rsidR="009559AE" w:rsidRDefault="009559AE" w:rsidP="00E5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83856384"/>
      <w:docPartObj>
        <w:docPartGallery w:val="Page Numbers (Bottom of Page)"/>
        <w:docPartUnique/>
      </w:docPartObj>
    </w:sdtPr>
    <w:sdtEndPr/>
    <w:sdtContent>
      <w:p w14:paraId="01B0D96E" w14:textId="74BB4DA4" w:rsidR="00E5526C" w:rsidRPr="00E5526C" w:rsidRDefault="00E5526C">
        <w:pPr>
          <w:pStyle w:val="Footer"/>
          <w:jc w:val="center"/>
          <w:rPr>
            <w:rFonts w:ascii="Times New Roman" w:hAnsi="Times New Roman" w:cs="Times New Roman"/>
          </w:rPr>
        </w:pPr>
        <w:r w:rsidRPr="00E5526C">
          <w:rPr>
            <w:rFonts w:ascii="Times New Roman" w:hAnsi="Times New Roman" w:cs="Times New Roman"/>
          </w:rPr>
          <w:fldChar w:fldCharType="begin"/>
        </w:r>
        <w:r w:rsidRPr="00E5526C">
          <w:rPr>
            <w:rFonts w:ascii="Times New Roman" w:hAnsi="Times New Roman" w:cs="Times New Roman"/>
          </w:rPr>
          <w:instrText>PAGE   \* MERGEFORMAT</w:instrText>
        </w:r>
        <w:r w:rsidRPr="00E5526C">
          <w:rPr>
            <w:rFonts w:ascii="Times New Roman" w:hAnsi="Times New Roman" w:cs="Times New Roman"/>
          </w:rPr>
          <w:fldChar w:fldCharType="separate"/>
        </w:r>
        <w:r w:rsidRPr="00E5526C">
          <w:rPr>
            <w:rFonts w:ascii="Times New Roman" w:hAnsi="Times New Roman" w:cs="Times New Roman"/>
          </w:rPr>
          <w:t>2</w:t>
        </w:r>
        <w:r w:rsidRPr="00E5526C">
          <w:rPr>
            <w:rFonts w:ascii="Times New Roman" w:hAnsi="Times New Roman" w:cs="Times New Roman"/>
          </w:rPr>
          <w:fldChar w:fldCharType="end"/>
        </w:r>
      </w:p>
    </w:sdtContent>
  </w:sdt>
  <w:p w14:paraId="6CF65475" w14:textId="77777777" w:rsidR="00E5526C" w:rsidRDefault="00E55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E404" w14:textId="77777777" w:rsidR="009559AE" w:rsidRDefault="009559AE" w:rsidP="00E5526C">
      <w:pPr>
        <w:spacing w:after="0" w:line="240" w:lineRule="auto"/>
      </w:pPr>
      <w:r>
        <w:separator/>
      </w:r>
    </w:p>
  </w:footnote>
  <w:footnote w:type="continuationSeparator" w:id="0">
    <w:p w14:paraId="1665A0E8" w14:textId="77777777" w:rsidR="009559AE" w:rsidRDefault="009559AE" w:rsidP="00E55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45A2"/>
    <w:multiLevelType w:val="hybridMultilevel"/>
    <w:tmpl w:val="B9685B40"/>
    <w:lvl w:ilvl="0" w:tplc="381E3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609FD"/>
    <w:multiLevelType w:val="hybridMultilevel"/>
    <w:tmpl w:val="A61033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C178B"/>
    <w:multiLevelType w:val="hybridMultilevel"/>
    <w:tmpl w:val="BE542D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18427">
    <w:abstractNumId w:val="0"/>
  </w:num>
  <w:num w:numId="2" w16cid:durableId="540748651">
    <w:abstractNumId w:val="2"/>
  </w:num>
  <w:num w:numId="3" w16cid:durableId="125213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6F"/>
    <w:rsid w:val="000117AA"/>
    <w:rsid w:val="000878D0"/>
    <w:rsid w:val="000D5A39"/>
    <w:rsid w:val="000E28EF"/>
    <w:rsid w:val="000F51DB"/>
    <w:rsid w:val="0011511C"/>
    <w:rsid w:val="00341D9A"/>
    <w:rsid w:val="00345A2C"/>
    <w:rsid w:val="003662F0"/>
    <w:rsid w:val="003E5411"/>
    <w:rsid w:val="00406216"/>
    <w:rsid w:val="00432F5F"/>
    <w:rsid w:val="00437FB4"/>
    <w:rsid w:val="00485C31"/>
    <w:rsid w:val="004C17B3"/>
    <w:rsid w:val="004C1A7C"/>
    <w:rsid w:val="004C58AC"/>
    <w:rsid w:val="005A4B67"/>
    <w:rsid w:val="005F1959"/>
    <w:rsid w:val="00604CBF"/>
    <w:rsid w:val="006177CF"/>
    <w:rsid w:val="00621139"/>
    <w:rsid w:val="00665828"/>
    <w:rsid w:val="00676507"/>
    <w:rsid w:val="00933DA5"/>
    <w:rsid w:val="00953A38"/>
    <w:rsid w:val="009559AE"/>
    <w:rsid w:val="00961CB6"/>
    <w:rsid w:val="009E322C"/>
    <w:rsid w:val="009E6798"/>
    <w:rsid w:val="00A615FE"/>
    <w:rsid w:val="00A6181C"/>
    <w:rsid w:val="00A92849"/>
    <w:rsid w:val="00AF26A9"/>
    <w:rsid w:val="00B85083"/>
    <w:rsid w:val="00BB6E16"/>
    <w:rsid w:val="00C8624C"/>
    <w:rsid w:val="00C95E61"/>
    <w:rsid w:val="00CC66E9"/>
    <w:rsid w:val="00D04022"/>
    <w:rsid w:val="00D311B4"/>
    <w:rsid w:val="00D568F5"/>
    <w:rsid w:val="00D60AE7"/>
    <w:rsid w:val="00DB6A25"/>
    <w:rsid w:val="00DC10BD"/>
    <w:rsid w:val="00DE0BD1"/>
    <w:rsid w:val="00E112D8"/>
    <w:rsid w:val="00E5526C"/>
    <w:rsid w:val="00E7772C"/>
    <w:rsid w:val="00EA6E2F"/>
    <w:rsid w:val="00F06CBF"/>
    <w:rsid w:val="00F309D8"/>
    <w:rsid w:val="00F9404C"/>
    <w:rsid w:val="00F96AB9"/>
    <w:rsid w:val="00FA446F"/>
    <w:rsid w:val="00FA6F02"/>
    <w:rsid w:val="00FB2246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F21A"/>
  <w15:chartTrackingRefBased/>
  <w15:docId w15:val="{B30F0C19-AEFA-4398-A555-1117D38C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26C"/>
  </w:style>
  <w:style w:type="paragraph" w:styleId="Footer">
    <w:name w:val="footer"/>
    <w:basedOn w:val="Normal"/>
    <w:link w:val="FooterChar"/>
    <w:uiPriority w:val="99"/>
    <w:unhideWhenUsed/>
    <w:rsid w:val="00E5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26C"/>
  </w:style>
  <w:style w:type="paragraph" w:styleId="Revision">
    <w:name w:val="Revision"/>
    <w:hidden/>
    <w:uiPriority w:val="99"/>
    <w:semiHidden/>
    <w:rsid w:val="006177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5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6C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tsekoda@kutsekod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791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Kikas</dc:creator>
  <cp:keywords/>
  <dc:description/>
  <cp:lastModifiedBy>Tiia Randma</cp:lastModifiedBy>
  <cp:revision>10</cp:revision>
  <dcterms:created xsi:type="dcterms:W3CDTF">2026-02-06T13:06:00Z</dcterms:created>
  <dcterms:modified xsi:type="dcterms:W3CDTF">2026-02-11T13:01:00Z</dcterms:modified>
</cp:coreProperties>
</file>